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4E6C0E" w:rsidP="00D44968">
            <w:pPr>
              <w:suppressLineNumbers/>
              <w:jc w:val="both"/>
              <w:rPr>
                <w:rFonts w:ascii="Arial" w:hAnsi="Arial"/>
                <w:b/>
                <w:bCs/>
                <w:sz w:val="26"/>
                <w:szCs w:val="26"/>
                <w:rtl/>
              </w:rPr>
            </w:pPr>
            <w:r>
              <w:rPr>
                <w:rFonts w:ascii="Arial" w:hAnsi="Arial" w:hint="cs"/>
                <w:b/>
                <w:bCs/>
                <w:sz w:val="26"/>
                <w:szCs w:val="26"/>
                <w:rtl/>
              </w:rPr>
              <w:t>ל</w:t>
            </w:r>
            <w:r w:rsidR="0094424E"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יעל ייטב</w:t>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360B2B" w:rsidRDefault="004E6C0E" w:rsidP="004E6C0E">
                <w:pPr>
                  <w:suppressLineNumbers/>
                  <w:rPr>
                    <w:rFonts w:ascii="Arial" w:hAnsi="Arial"/>
                    <w:b/>
                    <w:bCs/>
                    <w:noProof w:val="0"/>
                    <w:sz w:val="26"/>
                    <w:szCs w:val="26"/>
                    <w:rtl/>
                  </w:rPr>
                </w:pPr>
                <w:r>
                  <w:rPr>
                    <w:rFonts w:ascii="Arial" w:hAnsi="Arial" w:hint="cs"/>
                    <w:b/>
                    <w:bCs/>
                    <w:noProof w:val="0"/>
                    <w:sz w:val="26"/>
                    <w:szCs w:val="26"/>
                    <w:rtl/>
                  </w:rPr>
                  <w:t>ה</w:t>
                </w:r>
                <w:r w:rsidR="006D5DDC">
                  <w:rPr>
                    <w:rFonts w:ascii="Arial" w:hAnsi="Arial"/>
                    <w:b/>
                    <w:bCs/>
                    <w:noProof w:val="0"/>
                    <w:sz w:val="26"/>
                    <w:szCs w:val="26"/>
                    <w:rtl/>
                  </w:rPr>
                  <w:t>מערער</w:t>
                </w:r>
              </w:p>
            </w:sdtContent>
          </w:sdt>
        </w:tc>
        <w:tc>
          <w:tcPr>
            <w:tcW w:w="5571" w:type="dxa"/>
          </w:tcPr>
          <w:p w:rsidR="00FA7FD0" w:rsidRDefault="00FA7FD0" w:rsidP="00D44968">
            <w:pPr>
              <w:suppressLineNumbers/>
              <w:rPr>
                <w:rtl/>
              </w:rPr>
            </w:pPr>
          </w:p>
          <w:p w:rsidR="0094424E" w:rsidRDefault="005D6D6D" w:rsidP="00FE09EC">
            <w:pPr>
              <w:suppressLineNumbers/>
              <w:rPr>
                <w:b/>
                <w:bCs/>
                <w:noProof w:val="0"/>
                <w:sz w:val="26"/>
                <w:szCs w:val="26"/>
              </w:rPr>
            </w:pP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FE09EC">
                  <w:rPr>
                    <w:rFonts w:ascii="Arial" w:hAnsi="Arial"/>
                    <w:b/>
                    <w:bCs/>
                    <w:noProof w:val="0"/>
                    <w:sz w:val="26"/>
                    <w:szCs w:val="26"/>
                    <w:rtl/>
                  </w:rPr>
                  <w:t>עלי שריתח</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5D6D6D" w:rsidP="004E6C0E">
            <w:pPr>
              <w:suppressLineNumbers/>
              <w:rPr>
                <w:rFonts w:ascii="Arial" w:hAnsi="Arial"/>
                <w:b/>
                <w:bCs/>
                <w:noProof w:val="0"/>
                <w:sz w:val="26"/>
                <w:szCs w:val="26"/>
              </w:rPr>
            </w:pPr>
            <w:sdt>
              <w:sdtPr>
                <w:rPr>
                  <w:rtl/>
                </w:rPr>
                <w:alias w:val="1184"/>
                <w:tag w:val="1184"/>
                <w:id w:val="-340621022"/>
                <w:text w:multiLine="1"/>
              </w:sdtPr>
              <w:sdtEndPr/>
              <w:sdtContent>
                <w:r w:rsidR="004E6C0E">
                  <w:rPr>
                    <w:rFonts w:ascii="Arial" w:hAnsi="Arial" w:hint="cs"/>
                    <w:b/>
                    <w:bCs/>
                    <w:noProof w:val="0"/>
                    <w:sz w:val="26"/>
                    <w:szCs w:val="26"/>
                    <w:rtl/>
                  </w:rPr>
                  <w:t>ה</w:t>
                </w:r>
                <w:r w:rsidR="00FE09EC">
                  <w:rPr>
                    <w:rFonts w:ascii="Arial" w:hAnsi="Arial"/>
                    <w:b/>
                    <w:bCs/>
                    <w:noProof w:val="0"/>
                    <w:sz w:val="26"/>
                    <w:szCs w:val="26"/>
                    <w:rtl/>
                  </w:rPr>
                  <w:t>משיב</w:t>
                </w:r>
              </w:sdtContent>
            </w:sdt>
          </w:p>
        </w:tc>
        <w:tc>
          <w:tcPr>
            <w:tcW w:w="5571" w:type="dxa"/>
          </w:tcPr>
          <w:p w:rsidR="00CF6BB7" w:rsidRPr="00CD516B" w:rsidRDefault="005D6D6D" w:rsidP="004E6C0E">
            <w:pPr>
              <w:suppressLineNumbers/>
              <w:rPr>
                <w:rFonts w:ascii="Arial" w:hAnsi="Arial"/>
                <w:b/>
                <w:bCs/>
                <w:noProof w:val="0"/>
                <w:sz w:val="26"/>
                <w:szCs w:val="26"/>
                <w:rtl/>
              </w:rPr>
            </w:pP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4E6C0E">
                  <w:rPr>
                    <w:rFonts w:ascii="Arial" w:hAnsi="Arial" w:hint="cs"/>
                    <w:b/>
                    <w:bCs/>
                    <w:noProof w:val="0"/>
                    <w:sz w:val="26"/>
                    <w:szCs w:val="26"/>
                    <w:rtl/>
                  </w:rPr>
                  <w:t xml:space="preserve">מנהל מס ערך מוסף פשיעה חמורה </w:t>
                </w:r>
              </w:sdtContent>
            </w:sdt>
          </w:p>
        </w:tc>
      </w:tr>
      <w:tr w:rsidR="00CF6BB7" w:rsidTr="00280865">
        <w:trPr>
          <w:jc w:val="center"/>
        </w:trPr>
        <w:tc>
          <w:tcPr>
            <w:tcW w:w="8820" w:type="dxa"/>
            <w:gridSpan w:val="3"/>
          </w:tcPr>
          <w:p w:rsidR="00CF6BB7" w:rsidRDefault="00CF6BB7" w:rsidP="00D44968">
            <w:pPr>
              <w:suppressLineNumbers/>
              <w:rPr>
                <w:rtl/>
              </w:rPr>
            </w:pPr>
          </w:p>
        </w:tc>
      </w:tr>
      <w:tr w:rsidR="00CF6BB7">
        <w:trPr>
          <w:jc w:val="center"/>
        </w:trPr>
        <w:tc>
          <w:tcPr>
            <w:tcW w:w="3249" w:type="dxa"/>
            <w:gridSpan w:val="2"/>
          </w:tcPr>
          <w:p w:rsidR="00B62AD7" w:rsidRPr="00B62AD7" w:rsidRDefault="005D6D6D" w:rsidP="00B66717">
            <w:pPr>
              <w:rPr>
                <w:rFonts w:ascii="David" w:eastAsia="David" w:hAnsi="David"/>
                <w:b/>
                <w:bCs/>
                <w:noProof w:val="0"/>
              </w:rPr>
            </w:pPr>
            <w:sdt>
              <w:sdtPr>
                <w:rPr>
                  <w:rFonts w:ascii="David" w:eastAsia="David" w:hAnsi="David"/>
                  <w:b/>
                  <w:bCs/>
                  <w:rtl/>
                </w:rPr>
                <w:alias w:val="2360"/>
                <w:tag w:val="2360"/>
                <w:id w:val="-224524960"/>
                <w:lock w:val="contentLocked"/>
                <w:placeholder>
                  <w:docPart w:val="610C6E051A88448494B3C30FBAD74773"/>
                </w:placeholder>
                <w:text w:multiLine="1"/>
              </w:sdtPr>
              <w:sdtEndPr/>
              <w:sdtContent/>
            </w:sdt>
          </w:p>
        </w:tc>
        <w:tc>
          <w:tcPr>
            <w:tcW w:w="5571" w:type="dxa"/>
          </w:tcPr>
          <w:p w:rsidR="00B66717" w:rsidRPr="00B62AD7" w:rsidRDefault="00B66717" w:rsidP="004E6C0E">
            <w:pPr>
              <w:rPr>
                <w:b/>
                <w:bCs/>
                <w:sz w:val="26"/>
                <w:szCs w:val="26"/>
              </w:rPr>
            </w:pPr>
          </w:p>
        </w:tc>
      </w:tr>
      <w:tr w:rsidR="004C17EE" w:rsidTr="00D620FD">
        <w:trPr>
          <w:jc w:val="center"/>
        </w:trPr>
        <w:tc>
          <w:tcPr>
            <w:tcW w:w="8820" w:type="dxa"/>
            <w:gridSpan w:val="3"/>
          </w:tcPr>
          <w:p w:rsidR="00360B2B" w:rsidRDefault="00360B2B">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4E6C0E" w:rsidRDefault="004E6C0E" w:rsidP="004E6C0E">
      <w:pPr>
        <w:numPr>
          <w:ilvl w:val="0"/>
          <w:numId w:val="1"/>
        </w:numPr>
        <w:spacing w:after="200" w:line="360" w:lineRule="auto"/>
        <w:contextualSpacing/>
        <w:jc w:val="both"/>
        <w:rPr>
          <w:rFonts w:ascii="Calibri" w:hAnsi="Calibri"/>
          <w:noProof w:val="0"/>
          <w:sz w:val="26"/>
          <w:szCs w:val="26"/>
        </w:rPr>
      </w:pPr>
      <w:bookmarkStart w:id="1" w:name="NGCSBookmark"/>
      <w:bookmarkEnd w:id="1"/>
      <w:r>
        <w:rPr>
          <w:sz w:val="26"/>
          <w:szCs w:val="26"/>
          <w:rtl/>
        </w:rPr>
        <w:t>בקשת המשיב (להלן- "</w:t>
      </w:r>
      <w:r>
        <w:rPr>
          <w:b/>
          <w:bCs/>
          <w:sz w:val="26"/>
          <w:szCs w:val="26"/>
          <w:rtl/>
        </w:rPr>
        <w:t>המנהל</w:t>
      </w:r>
      <w:r>
        <w:rPr>
          <w:sz w:val="26"/>
          <w:szCs w:val="26"/>
          <w:rtl/>
        </w:rPr>
        <w:t>"),</w:t>
      </w:r>
      <w:r>
        <w:rPr>
          <w:rFonts w:ascii="Calibri" w:hAnsi="Calibri"/>
          <w:sz w:val="26"/>
          <w:szCs w:val="26"/>
          <w:rtl/>
        </w:rPr>
        <w:t xml:space="preserve"> </w:t>
      </w:r>
      <w:r>
        <w:rPr>
          <w:rFonts w:ascii="David" w:hAnsi="David"/>
          <w:sz w:val="26"/>
          <w:szCs w:val="26"/>
          <w:rtl/>
        </w:rPr>
        <w:t>להורות למערער להפקיד ערובה מספקת לתשלום הוצאותיו ככל שהערעור ידחה ו</w:t>
      </w:r>
      <w:r>
        <w:rPr>
          <w:rFonts w:ascii="David" w:hAnsi="David" w:hint="cs"/>
          <w:sz w:val="26"/>
          <w:szCs w:val="26"/>
          <w:rtl/>
        </w:rPr>
        <w:t>ככל ש</w:t>
      </w:r>
      <w:r>
        <w:rPr>
          <w:rFonts w:ascii="David" w:hAnsi="David"/>
          <w:sz w:val="26"/>
          <w:szCs w:val="26"/>
          <w:rtl/>
        </w:rPr>
        <w:t>המערער יחוייב ב</w:t>
      </w:r>
      <w:r>
        <w:rPr>
          <w:rFonts w:ascii="David" w:hAnsi="David" w:hint="cs"/>
          <w:sz w:val="26"/>
          <w:szCs w:val="26"/>
          <w:rtl/>
        </w:rPr>
        <w:t xml:space="preserve">תשלום </w:t>
      </w:r>
      <w:r>
        <w:rPr>
          <w:rFonts w:ascii="David" w:hAnsi="David"/>
          <w:sz w:val="26"/>
          <w:szCs w:val="26"/>
          <w:rtl/>
        </w:rPr>
        <w:t>הוצאות המנהל.</w:t>
      </w:r>
    </w:p>
    <w:p w:rsidR="004E6C0E" w:rsidRDefault="004E6C0E" w:rsidP="004E6C0E">
      <w:pPr>
        <w:numPr>
          <w:ilvl w:val="0"/>
          <w:numId w:val="1"/>
        </w:numPr>
        <w:spacing w:after="200" w:line="360" w:lineRule="auto"/>
        <w:contextualSpacing/>
        <w:jc w:val="both"/>
        <w:rPr>
          <w:rFonts w:ascii="Calibri" w:hAnsi="Calibri"/>
          <w:sz w:val="26"/>
          <w:szCs w:val="26"/>
        </w:rPr>
      </w:pPr>
      <w:r>
        <w:rPr>
          <w:rFonts w:ascii="David" w:hAnsi="David"/>
          <w:sz w:val="26"/>
          <w:szCs w:val="26"/>
          <w:rtl/>
        </w:rPr>
        <w:t xml:space="preserve">המערער הגיש ערעור לפי סעיף 83 </w:t>
      </w:r>
      <w:r>
        <w:rPr>
          <w:rFonts w:ascii="David" w:hAnsi="David"/>
          <w:b/>
          <w:bCs/>
          <w:sz w:val="26"/>
          <w:szCs w:val="26"/>
          <w:rtl/>
        </w:rPr>
        <w:t>בחוק מס ערך מוסף, התשל"ו- 1975</w:t>
      </w:r>
      <w:r>
        <w:rPr>
          <w:rFonts w:ascii="David" w:hAnsi="David"/>
          <w:sz w:val="26"/>
          <w:szCs w:val="26"/>
          <w:rtl/>
        </w:rPr>
        <w:t xml:space="preserve"> (להלן- "</w:t>
      </w:r>
      <w:r>
        <w:rPr>
          <w:rFonts w:ascii="David" w:hAnsi="David"/>
          <w:b/>
          <w:bCs/>
          <w:sz w:val="26"/>
          <w:szCs w:val="26"/>
          <w:rtl/>
        </w:rPr>
        <w:t>חוק מס ערך מוסף</w:t>
      </w:r>
      <w:r>
        <w:rPr>
          <w:rFonts w:ascii="David" w:hAnsi="David"/>
          <w:sz w:val="26"/>
          <w:szCs w:val="26"/>
          <w:rtl/>
        </w:rPr>
        <w:t>), על החלטת המנהל לדחות את השגתו</w:t>
      </w:r>
      <w:r>
        <w:rPr>
          <w:rFonts w:ascii="David" w:hAnsi="David" w:hint="cs"/>
          <w:sz w:val="26"/>
          <w:szCs w:val="26"/>
          <w:rtl/>
        </w:rPr>
        <w:t xml:space="preserve">. בהחלטה חויב </w:t>
      </w:r>
      <w:r>
        <w:rPr>
          <w:rFonts w:ascii="David" w:hAnsi="David"/>
          <w:sz w:val="26"/>
          <w:szCs w:val="26"/>
          <w:rtl/>
        </w:rPr>
        <w:t xml:space="preserve">בכפל מס עסקאות, לפי סעיף 50(א) </w:t>
      </w:r>
      <w:r>
        <w:rPr>
          <w:rFonts w:ascii="David" w:hAnsi="David" w:hint="cs"/>
          <w:sz w:val="26"/>
          <w:szCs w:val="26"/>
          <w:rtl/>
        </w:rPr>
        <w:t>ב</w:t>
      </w:r>
      <w:r>
        <w:rPr>
          <w:rFonts w:ascii="David" w:hAnsi="David"/>
          <w:sz w:val="26"/>
          <w:szCs w:val="26"/>
          <w:rtl/>
        </w:rPr>
        <w:t xml:space="preserve">חוק מס ערך מוסף, בסכום של 5,034,222 ₪, בגין הוצאת 26 חשבוניות שלא כדין. </w:t>
      </w:r>
    </w:p>
    <w:p w:rsidR="004E6C0E" w:rsidRDefault="004E6C0E" w:rsidP="004E6C0E">
      <w:pPr>
        <w:numPr>
          <w:ilvl w:val="0"/>
          <w:numId w:val="1"/>
        </w:numPr>
        <w:spacing w:after="200" w:line="360" w:lineRule="auto"/>
        <w:contextualSpacing/>
        <w:jc w:val="both"/>
        <w:rPr>
          <w:rFonts w:ascii="Calibri" w:hAnsi="Calibri"/>
          <w:sz w:val="26"/>
          <w:szCs w:val="26"/>
        </w:rPr>
      </w:pPr>
      <w:r>
        <w:rPr>
          <w:rFonts w:ascii="Calibri" w:hAnsi="Calibri"/>
          <w:sz w:val="26"/>
          <w:szCs w:val="26"/>
          <w:rtl/>
        </w:rPr>
        <w:t xml:space="preserve">בבקשתו ציין המנהל כי ככלל לא נדרש תובע יחיד להפקיד ערובה להבטחת הוצאות הנתבע, ואולם בענייננו מתקיים החריג, המאפשר חיובו של תובע יחיד בהפקדת ערובה, הן מאחר שהמערער הוא תושב חוץ (הרשות הפלסטינית), אשר לא ציין בכתב הערעור מען עדכני; הן בשל סיכויי ערעור קלושים ומצב כלכלי רעוע.  </w:t>
      </w:r>
    </w:p>
    <w:p w:rsidR="004E6C0E" w:rsidRDefault="004E6C0E" w:rsidP="004E6C0E">
      <w:pPr>
        <w:numPr>
          <w:ilvl w:val="0"/>
          <w:numId w:val="1"/>
        </w:numPr>
        <w:spacing w:after="200" w:line="360" w:lineRule="auto"/>
        <w:contextualSpacing/>
        <w:jc w:val="both"/>
        <w:rPr>
          <w:rFonts w:ascii="Calibri" w:hAnsi="Calibri"/>
          <w:sz w:val="26"/>
          <w:szCs w:val="26"/>
        </w:rPr>
      </w:pPr>
      <w:r>
        <w:rPr>
          <w:rFonts w:ascii="Calibri" w:hAnsi="Calibri"/>
          <w:sz w:val="26"/>
          <w:szCs w:val="26"/>
          <w:rtl/>
        </w:rPr>
        <w:t>המנהל הדגיש כי כל שצוין ב</w:t>
      </w:r>
      <w:r>
        <w:rPr>
          <w:rFonts w:ascii="Calibri" w:hAnsi="Calibri" w:hint="cs"/>
          <w:sz w:val="26"/>
          <w:szCs w:val="26"/>
          <w:rtl/>
        </w:rPr>
        <w:t>כתב הערעור ב</w:t>
      </w:r>
      <w:r>
        <w:rPr>
          <w:rFonts w:ascii="Calibri" w:hAnsi="Calibri"/>
          <w:sz w:val="26"/>
          <w:szCs w:val="26"/>
          <w:rtl/>
        </w:rPr>
        <w:t>אשר לכתובתו של המערער, היה "יטא- חברון"</w:t>
      </w:r>
      <w:r>
        <w:rPr>
          <w:rFonts w:ascii="Calibri" w:hAnsi="Calibri" w:hint="cs"/>
          <w:sz w:val="26"/>
          <w:szCs w:val="26"/>
          <w:rtl/>
        </w:rPr>
        <w:t>,</w:t>
      </w:r>
      <w:r>
        <w:rPr>
          <w:rFonts w:ascii="Calibri" w:hAnsi="Calibri"/>
          <w:sz w:val="26"/>
          <w:szCs w:val="26"/>
          <w:rtl/>
        </w:rPr>
        <w:t xml:space="preserve"> מבלי לציין כתובת מדויקת יותר, וזאת בניגוד לתקנה 3 בתקנות </w:t>
      </w:r>
      <w:r>
        <w:rPr>
          <w:rFonts w:ascii="Calibri" w:hAnsi="Calibri"/>
          <w:b/>
          <w:bCs/>
          <w:sz w:val="26"/>
          <w:szCs w:val="26"/>
          <w:rtl/>
        </w:rPr>
        <w:t xml:space="preserve">מס ערך מוסף ומס קניה (סדרי הדין ערעור), התשל"ו- 1976 </w:t>
      </w:r>
      <w:r>
        <w:rPr>
          <w:rFonts w:ascii="Calibri" w:hAnsi="Calibri"/>
          <w:sz w:val="26"/>
          <w:szCs w:val="26"/>
          <w:rtl/>
        </w:rPr>
        <w:t>(להלן- "</w:t>
      </w:r>
      <w:r>
        <w:rPr>
          <w:rFonts w:ascii="Calibri" w:hAnsi="Calibri"/>
          <w:b/>
          <w:bCs/>
          <w:sz w:val="26"/>
          <w:szCs w:val="26"/>
          <w:rtl/>
        </w:rPr>
        <w:t>תקנות סדרי הדין</w:t>
      </w:r>
      <w:r>
        <w:rPr>
          <w:rFonts w:ascii="Calibri" w:hAnsi="Calibri"/>
          <w:sz w:val="26"/>
          <w:szCs w:val="26"/>
          <w:rtl/>
        </w:rPr>
        <w:t>")</w:t>
      </w:r>
      <w:r>
        <w:rPr>
          <w:rFonts w:ascii="Calibri" w:hAnsi="Calibri"/>
          <w:b/>
          <w:bCs/>
          <w:sz w:val="26"/>
          <w:szCs w:val="26"/>
          <w:rtl/>
        </w:rPr>
        <w:t xml:space="preserve">. </w:t>
      </w:r>
      <w:r>
        <w:rPr>
          <w:rFonts w:ascii="Calibri" w:hAnsi="Calibri"/>
          <w:sz w:val="26"/>
          <w:szCs w:val="26"/>
          <w:rtl/>
        </w:rPr>
        <w:t>אשר למצבו הכלכלי של המערער, הודגש כי המערער לא הצביע על קיומם של נכסים בישראל, וכן על כך שהמערער נמנע מלשלם למנהל את ההוצאות שהוטלו עליו, עובדה שיש בה כדי להצביע על הימנעות מתשלום הוצאות, ועל הקשיים שיעמדו בפני המנהל בגביית סכומי ההוצאות ככל שהערעור ידחה. המנהל הדגיש כי מדובר בכספי ציבור, ולא בכספי צד להתקשרות עסקית פרטית.</w:t>
      </w:r>
    </w:p>
    <w:p w:rsidR="004E6C0E" w:rsidRDefault="004E6C0E" w:rsidP="009D39C0">
      <w:pPr>
        <w:numPr>
          <w:ilvl w:val="0"/>
          <w:numId w:val="1"/>
        </w:numPr>
        <w:spacing w:after="200" w:line="360" w:lineRule="auto"/>
        <w:contextualSpacing/>
        <w:jc w:val="both"/>
        <w:rPr>
          <w:rFonts w:ascii="David" w:hAnsi="David"/>
          <w:sz w:val="26"/>
          <w:szCs w:val="26"/>
        </w:rPr>
      </w:pPr>
      <w:r>
        <w:rPr>
          <w:rFonts w:ascii="Calibri" w:hAnsi="Calibri"/>
          <w:sz w:val="26"/>
          <w:szCs w:val="26"/>
          <w:rtl/>
        </w:rPr>
        <w:t>לטענת המנהל סיכויי הערעור נמוכים, שכן ניתן ללמוד מהאמור בכתב התשובה ו</w:t>
      </w:r>
      <w:r>
        <w:rPr>
          <w:rFonts w:ascii="Calibri" w:hAnsi="Calibri" w:hint="cs"/>
          <w:sz w:val="26"/>
          <w:szCs w:val="26"/>
          <w:rtl/>
        </w:rPr>
        <w:t>מ</w:t>
      </w:r>
      <w:r>
        <w:rPr>
          <w:rFonts w:ascii="Calibri" w:hAnsi="Calibri"/>
          <w:sz w:val="26"/>
          <w:szCs w:val="26"/>
          <w:rtl/>
        </w:rPr>
        <w:t xml:space="preserve">תצהירים </w:t>
      </w:r>
      <w:r>
        <w:rPr>
          <w:rFonts w:ascii="Calibri" w:hAnsi="Calibri" w:hint="cs"/>
          <w:sz w:val="26"/>
          <w:szCs w:val="26"/>
          <w:rtl/>
        </w:rPr>
        <w:t>שהגיש</w:t>
      </w:r>
      <w:r>
        <w:rPr>
          <w:rFonts w:ascii="Calibri" w:hAnsi="Calibri"/>
          <w:sz w:val="26"/>
          <w:szCs w:val="26"/>
          <w:rtl/>
        </w:rPr>
        <w:t xml:space="preserve">, </w:t>
      </w:r>
      <w:r>
        <w:rPr>
          <w:rFonts w:ascii="Calibri" w:hAnsi="Calibri" w:hint="cs"/>
          <w:sz w:val="26"/>
          <w:szCs w:val="26"/>
          <w:rtl/>
        </w:rPr>
        <w:t>כי</w:t>
      </w:r>
      <w:r>
        <w:rPr>
          <w:rFonts w:ascii="Calibri" w:hAnsi="Calibri"/>
          <w:sz w:val="26"/>
          <w:szCs w:val="26"/>
          <w:rtl/>
        </w:rPr>
        <w:t xml:space="preserve"> המערער </w:t>
      </w:r>
      <w:r>
        <w:rPr>
          <w:rFonts w:ascii="Calibri" w:hAnsi="Calibri" w:hint="cs"/>
          <w:sz w:val="26"/>
          <w:szCs w:val="26"/>
          <w:rtl/>
        </w:rPr>
        <w:t xml:space="preserve">הוציא </w:t>
      </w:r>
      <w:r>
        <w:rPr>
          <w:rFonts w:ascii="David" w:hAnsi="David"/>
          <w:sz w:val="26"/>
          <w:szCs w:val="26"/>
          <w:rtl/>
        </w:rPr>
        <w:t xml:space="preserve">בתקופה שבין 02/2018 עד 04/2018 26 </w:t>
      </w:r>
      <w:r>
        <w:rPr>
          <w:rFonts w:ascii="Calibri" w:hAnsi="Calibri"/>
          <w:sz w:val="26"/>
          <w:szCs w:val="26"/>
          <w:rtl/>
        </w:rPr>
        <w:lastRenderedPageBreak/>
        <w:t xml:space="preserve">חשבוניות מס פיקטיביות על שם חברה, </w:t>
      </w:r>
      <w:r>
        <w:rPr>
          <w:rFonts w:ascii="Calibri" w:hAnsi="Calibri" w:hint="cs"/>
          <w:sz w:val="26"/>
          <w:szCs w:val="26"/>
          <w:rtl/>
        </w:rPr>
        <w:t xml:space="preserve">וזאת </w:t>
      </w:r>
      <w:r>
        <w:rPr>
          <w:rFonts w:ascii="Calibri" w:hAnsi="Calibri"/>
          <w:sz w:val="26"/>
          <w:szCs w:val="26"/>
          <w:rtl/>
        </w:rPr>
        <w:t>מבלי שהתבצעה כל עסקה</w:t>
      </w:r>
      <w:r>
        <w:rPr>
          <w:rFonts w:ascii="Calibri" w:hAnsi="Calibri" w:hint="cs"/>
          <w:sz w:val="26"/>
          <w:szCs w:val="26"/>
          <w:rtl/>
        </w:rPr>
        <w:t>, הכל</w:t>
      </w:r>
      <w:r>
        <w:rPr>
          <w:rFonts w:ascii="Calibri" w:hAnsi="Calibri"/>
          <w:sz w:val="26"/>
          <w:szCs w:val="26"/>
          <w:rtl/>
        </w:rPr>
        <w:t xml:space="preserve"> </w:t>
      </w:r>
      <w:r>
        <w:rPr>
          <w:rFonts w:ascii="David" w:hAnsi="David"/>
          <w:sz w:val="26"/>
          <w:szCs w:val="26"/>
          <w:rtl/>
        </w:rPr>
        <w:t>על מנת ל</w:t>
      </w:r>
      <w:r>
        <w:rPr>
          <w:rFonts w:ascii="David" w:hAnsi="David" w:hint="cs"/>
          <w:sz w:val="26"/>
          <w:szCs w:val="26"/>
          <w:rtl/>
        </w:rPr>
        <w:t>אפשר</w:t>
      </w:r>
      <w:r w:rsidR="009D39C0">
        <w:rPr>
          <w:rFonts w:ascii="David" w:hAnsi="David"/>
          <w:sz w:val="26"/>
          <w:szCs w:val="26"/>
          <w:rtl/>
        </w:rPr>
        <w:t xml:space="preserve"> לאחרים להשתמט מתשלום מס אמת</w:t>
      </w:r>
      <w:r>
        <w:rPr>
          <w:rFonts w:ascii="David" w:hAnsi="David"/>
          <w:sz w:val="26"/>
          <w:szCs w:val="26"/>
          <w:rtl/>
        </w:rPr>
        <w:t xml:space="preserve">. </w:t>
      </w:r>
    </w:p>
    <w:p w:rsidR="004E6C0E" w:rsidRDefault="004E6C0E" w:rsidP="009D39C0">
      <w:pPr>
        <w:numPr>
          <w:ilvl w:val="0"/>
          <w:numId w:val="1"/>
        </w:numPr>
        <w:spacing w:after="200" w:line="360" w:lineRule="auto"/>
        <w:contextualSpacing/>
        <w:jc w:val="both"/>
        <w:rPr>
          <w:rFonts w:ascii="Calibri" w:hAnsi="Calibri"/>
          <w:sz w:val="26"/>
          <w:szCs w:val="26"/>
        </w:rPr>
      </w:pPr>
      <w:r>
        <w:rPr>
          <w:rFonts w:ascii="Calibri" w:hAnsi="Calibri"/>
          <w:sz w:val="26"/>
          <w:szCs w:val="26"/>
          <w:rtl/>
        </w:rPr>
        <w:t xml:space="preserve">המערער נמנע מלהגיש </w:t>
      </w:r>
      <w:r w:rsidR="009D39C0">
        <w:rPr>
          <w:rFonts w:ascii="Calibri" w:hAnsi="Calibri" w:hint="cs"/>
          <w:sz w:val="26"/>
          <w:szCs w:val="26"/>
          <w:rtl/>
        </w:rPr>
        <w:t xml:space="preserve">את </w:t>
      </w:r>
      <w:r>
        <w:rPr>
          <w:rFonts w:ascii="Calibri" w:hAnsi="Calibri"/>
          <w:sz w:val="26"/>
          <w:szCs w:val="26"/>
          <w:rtl/>
        </w:rPr>
        <w:t>תגוב</w:t>
      </w:r>
      <w:r w:rsidR="009D39C0">
        <w:rPr>
          <w:rFonts w:ascii="Calibri" w:hAnsi="Calibri" w:hint="cs"/>
          <w:sz w:val="26"/>
          <w:szCs w:val="26"/>
          <w:rtl/>
        </w:rPr>
        <w:t>תו</w:t>
      </w:r>
      <w:r>
        <w:rPr>
          <w:rFonts w:ascii="Calibri" w:hAnsi="Calibri"/>
          <w:sz w:val="26"/>
          <w:szCs w:val="26"/>
          <w:rtl/>
        </w:rPr>
        <w:t xml:space="preserve"> לבקשה</w:t>
      </w:r>
      <w:r w:rsidR="009D39C0">
        <w:rPr>
          <w:rFonts w:ascii="Calibri" w:hAnsi="Calibri" w:hint="cs"/>
          <w:sz w:val="26"/>
          <w:szCs w:val="26"/>
          <w:rtl/>
        </w:rPr>
        <w:t xml:space="preserve"> במועד שנקבע לכך</w:t>
      </w:r>
      <w:r>
        <w:rPr>
          <w:rFonts w:ascii="Calibri" w:hAnsi="Calibri"/>
          <w:sz w:val="26"/>
          <w:szCs w:val="26"/>
          <w:rtl/>
        </w:rPr>
        <w:t xml:space="preserve">, ובהחלטתי מיום 9.7.2023 קבעתי כי ככל שתגובתו של המערער לא תוגש בתוך 3 ימים, אראה אותו כמסכים לבקשה. </w:t>
      </w:r>
    </w:p>
    <w:p w:rsidR="004E6C0E" w:rsidRDefault="004E6C0E" w:rsidP="004E6C0E">
      <w:pPr>
        <w:numPr>
          <w:ilvl w:val="0"/>
          <w:numId w:val="1"/>
        </w:numPr>
        <w:spacing w:after="200" w:line="360" w:lineRule="auto"/>
        <w:contextualSpacing/>
        <w:jc w:val="both"/>
        <w:rPr>
          <w:rFonts w:ascii="Calibri" w:hAnsi="Calibri"/>
          <w:sz w:val="26"/>
          <w:szCs w:val="26"/>
        </w:rPr>
      </w:pPr>
      <w:r>
        <w:rPr>
          <w:rFonts w:ascii="Calibri" w:hAnsi="Calibri"/>
          <w:sz w:val="26"/>
          <w:szCs w:val="26"/>
          <w:rtl/>
        </w:rPr>
        <w:t>משנמנע המערער מלהגיש תגובה</w:t>
      </w:r>
      <w:r w:rsidR="009D39C0">
        <w:rPr>
          <w:rFonts w:ascii="Calibri" w:hAnsi="Calibri" w:hint="cs"/>
          <w:sz w:val="26"/>
          <w:szCs w:val="26"/>
          <w:rtl/>
        </w:rPr>
        <w:t xml:space="preserve"> גם לאחר החלטה זו,</w:t>
      </w:r>
      <w:r>
        <w:rPr>
          <w:rFonts w:ascii="Calibri" w:hAnsi="Calibri"/>
          <w:sz w:val="26"/>
          <w:szCs w:val="26"/>
          <w:rtl/>
        </w:rPr>
        <w:t xml:space="preserve"> יש לראותו כמסכים לבקשה, ודי בכך כדי לקבל את הבקשה.</w:t>
      </w:r>
    </w:p>
    <w:p w:rsidR="009D39C0" w:rsidRPr="00163F87" w:rsidRDefault="004E6C0E" w:rsidP="00163F87">
      <w:pPr>
        <w:numPr>
          <w:ilvl w:val="0"/>
          <w:numId w:val="1"/>
        </w:numPr>
        <w:spacing w:after="200" w:line="360" w:lineRule="auto"/>
        <w:contextualSpacing/>
        <w:jc w:val="both"/>
        <w:rPr>
          <w:rFonts w:ascii="David" w:hAnsi="David"/>
          <w:b/>
          <w:bCs/>
          <w:sz w:val="28"/>
          <w:szCs w:val="28"/>
          <w:u w:val="single"/>
        </w:rPr>
      </w:pPr>
      <w:r>
        <w:rPr>
          <w:rFonts w:ascii="Calibri" w:hAnsi="Calibri"/>
          <w:sz w:val="26"/>
          <w:szCs w:val="26"/>
          <w:rtl/>
        </w:rPr>
        <w:t xml:space="preserve">מעבר לדרוש אציין כי תקנה 157 </w:t>
      </w:r>
      <w:r>
        <w:rPr>
          <w:rFonts w:ascii="Calibri" w:hAnsi="Calibri"/>
          <w:b/>
          <w:bCs/>
          <w:sz w:val="26"/>
          <w:szCs w:val="26"/>
          <w:rtl/>
        </w:rPr>
        <w:t>בתקנות סדר הדין האזרחי, התשע"ט- 2018</w:t>
      </w:r>
      <w:r>
        <w:rPr>
          <w:rFonts w:ascii="Calibri" w:hAnsi="Calibri"/>
          <w:sz w:val="26"/>
          <w:szCs w:val="26"/>
          <w:rtl/>
        </w:rPr>
        <w:t xml:space="preserve"> (להלן- "</w:t>
      </w:r>
      <w:r>
        <w:rPr>
          <w:rFonts w:ascii="Calibri" w:hAnsi="Calibri"/>
          <w:b/>
          <w:bCs/>
          <w:sz w:val="26"/>
          <w:szCs w:val="26"/>
          <w:rtl/>
        </w:rPr>
        <w:t>תקנות סדר הדין האזרחי</w:t>
      </w:r>
      <w:r>
        <w:rPr>
          <w:rFonts w:ascii="Calibri" w:hAnsi="Calibri"/>
          <w:sz w:val="26"/>
          <w:szCs w:val="26"/>
          <w:rtl/>
        </w:rPr>
        <w:t>")</w:t>
      </w:r>
      <w:r>
        <w:rPr>
          <w:rFonts w:ascii="David" w:hAnsi="David"/>
          <w:sz w:val="26"/>
          <w:szCs w:val="26"/>
          <w:rtl/>
        </w:rPr>
        <w:t xml:space="preserve">, החלה בענייננו מכוח תקנה 10 בתקנות סדרי הדין, </w:t>
      </w:r>
      <w:r>
        <w:rPr>
          <w:rFonts w:ascii="David" w:hAnsi="David"/>
          <w:color w:val="000000"/>
          <w:sz w:val="26"/>
          <w:szCs w:val="26"/>
          <w:rtl/>
        </w:rPr>
        <w:t xml:space="preserve">קובעת כי- </w:t>
      </w:r>
    </w:p>
    <w:p w:rsidR="004E6C0E" w:rsidRDefault="004E6C0E" w:rsidP="004E6C0E">
      <w:pPr>
        <w:spacing w:after="200" w:line="360" w:lineRule="auto"/>
        <w:ind w:left="1440" w:right="426"/>
        <w:contextualSpacing/>
        <w:jc w:val="both"/>
        <w:rPr>
          <w:rFonts w:ascii="David" w:hAnsi="David"/>
          <w:b/>
          <w:bCs/>
          <w:color w:val="000000"/>
          <w:sz w:val="26"/>
          <w:szCs w:val="26"/>
        </w:rPr>
      </w:pPr>
      <w:r>
        <w:rPr>
          <w:rFonts w:ascii="David" w:hAnsi="David"/>
          <w:color w:val="000000"/>
          <w:sz w:val="26"/>
          <w:szCs w:val="26"/>
          <w:rtl/>
        </w:rPr>
        <w:t>"</w:t>
      </w:r>
      <w:r>
        <w:rPr>
          <w:rFonts w:ascii="David" w:hAnsi="David"/>
          <w:b/>
          <w:bCs/>
          <w:color w:val="000000"/>
          <w:sz w:val="26"/>
          <w:szCs w:val="26"/>
          <w:rtl/>
        </w:rPr>
        <w:t xml:space="preserve">(א) בית המשפט רשאי, אם נראה לו הדבר, לצוות על תובע לתת ערובה לתשלום הוצאותיו של נתבע. </w:t>
      </w:r>
    </w:p>
    <w:p w:rsidR="009D39C0" w:rsidRPr="00163F87" w:rsidRDefault="004E6C0E" w:rsidP="00163F87">
      <w:pPr>
        <w:spacing w:after="200" w:line="360" w:lineRule="auto"/>
        <w:ind w:left="720" w:right="426" w:firstLine="720"/>
        <w:contextualSpacing/>
        <w:jc w:val="both"/>
        <w:rPr>
          <w:rFonts w:ascii="David" w:hAnsi="David"/>
          <w:color w:val="000000"/>
          <w:sz w:val="26"/>
          <w:szCs w:val="26"/>
          <w:rtl/>
        </w:rPr>
      </w:pPr>
      <w:r>
        <w:rPr>
          <w:rFonts w:ascii="David" w:hAnsi="David"/>
          <w:b/>
          <w:bCs/>
          <w:color w:val="000000"/>
          <w:sz w:val="26"/>
          <w:szCs w:val="26"/>
          <w:rtl/>
        </w:rPr>
        <w:t>(ב) לא ניתנה הערובה בתוך המועד שהורה, יימחק כתב התביעה</w:t>
      </w:r>
      <w:r>
        <w:rPr>
          <w:rFonts w:ascii="David" w:hAnsi="David"/>
          <w:color w:val="000000"/>
          <w:sz w:val="26"/>
          <w:szCs w:val="26"/>
          <w:rtl/>
        </w:rPr>
        <w:t xml:space="preserve">". </w:t>
      </w:r>
    </w:p>
    <w:p w:rsidR="004E6C0E" w:rsidRDefault="004E6C0E" w:rsidP="009D39C0">
      <w:pPr>
        <w:numPr>
          <w:ilvl w:val="0"/>
          <w:numId w:val="1"/>
        </w:numPr>
        <w:spacing w:after="200" w:line="360" w:lineRule="auto"/>
        <w:contextualSpacing/>
        <w:jc w:val="both"/>
        <w:rPr>
          <w:rFonts w:ascii="David" w:hAnsi="David"/>
          <w:sz w:val="26"/>
          <w:szCs w:val="26"/>
        </w:rPr>
      </w:pPr>
      <w:r>
        <w:rPr>
          <w:rFonts w:ascii="David" w:hAnsi="David"/>
          <w:sz w:val="26"/>
          <w:szCs w:val="26"/>
          <w:rtl/>
        </w:rPr>
        <w:t>(וראו לעניין התחולה בע</w:t>
      </w:r>
      <w:r w:rsidR="009D39C0">
        <w:rPr>
          <w:rFonts w:ascii="David" w:hAnsi="David" w:hint="cs"/>
          <w:sz w:val="26"/>
          <w:szCs w:val="26"/>
          <w:rtl/>
        </w:rPr>
        <w:t>רעורי</w:t>
      </w:r>
      <w:r>
        <w:rPr>
          <w:rFonts w:ascii="David" w:hAnsi="David"/>
          <w:sz w:val="26"/>
          <w:szCs w:val="26"/>
          <w:rtl/>
        </w:rPr>
        <w:t xml:space="preserve"> מסים למשל רע"א 5013/15 </w:t>
      </w:r>
      <w:r>
        <w:rPr>
          <w:rFonts w:ascii="David" w:hAnsi="David"/>
          <w:b/>
          <w:bCs/>
          <w:sz w:val="26"/>
          <w:szCs w:val="26"/>
          <w:rtl/>
        </w:rPr>
        <w:t>ג'ורדאל בע"מ נ' מנהל מע"מ באר שבע</w:t>
      </w:r>
      <w:r>
        <w:rPr>
          <w:rFonts w:ascii="David" w:hAnsi="David"/>
          <w:sz w:val="26"/>
          <w:szCs w:val="26"/>
          <w:rtl/>
        </w:rPr>
        <w:t xml:space="preserve"> (מיום 27.12.2015; רע"א 6315/18 </w:t>
      </w:r>
      <w:r>
        <w:rPr>
          <w:rFonts w:ascii="David" w:hAnsi="David"/>
          <w:b/>
          <w:bCs/>
          <w:sz w:val="26"/>
          <w:szCs w:val="26"/>
          <w:rtl/>
        </w:rPr>
        <w:t>ג'י אם בניה בע"מ נ' מנהל מע"מ לוד</w:t>
      </w:r>
      <w:r>
        <w:rPr>
          <w:rFonts w:ascii="David" w:hAnsi="David"/>
          <w:sz w:val="26"/>
          <w:szCs w:val="26"/>
          <w:rtl/>
        </w:rPr>
        <w:t xml:space="preserve"> (מיום 7.10.2018); </w:t>
      </w:r>
      <w:r>
        <w:rPr>
          <w:sz w:val="26"/>
          <w:szCs w:val="26"/>
          <w:rtl/>
          <w:lang w:eastAsia="he-IL"/>
        </w:rPr>
        <w:t>רע"א 1970/18</w:t>
      </w:r>
      <w:r>
        <w:rPr>
          <w:rFonts w:ascii="Calibri" w:hAnsi="Calibri"/>
          <w:sz w:val="26"/>
          <w:szCs w:val="26"/>
          <w:rtl/>
          <w:lang w:eastAsia="he-IL"/>
        </w:rPr>
        <w:t xml:space="preserve"> </w:t>
      </w:r>
      <w:r>
        <w:rPr>
          <w:rFonts w:ascii="Calibri" w:hAnsi="Calibri"/>
          <w:b/>
          <w:bCs/>
          <w:sz w:val="26"/>
          <w:szCs w:val="26"/>
          <w:rtl/>
          <w:lang w:eastAsia="he-IL"/>
        </w:rPr>
        <w:t>מיכאל ביטוח עבודות בניה בע"מ נ' מנהל מע"מ</w:t>
      </w:r>
      <w:r>
        <w:rPr>
          <w:rFonts w:ascii="Calibri" w:hAnsi="Calibri"/>
          <w:sz w:val="26"/>
          <w:szCs w:val="26"/>
          <w:rtl/>
          <w:lang w:eastAsia="he-IL"/>
        </w:rPr>
        <w:t xml:space="preserve"> (מיום 19.3.19); (</w:t>
      </w:r>
      <w:r>
        <w:rPr>
          <w:rFonts w:ascii="Calibri" w:hAnsi="Calibri"/>
          <w:sz w:val="26"/>
          <w:szCs w:val="26"/>
          <w:rtl/>
        </w:rPr>
        <w:t xml:space="preserve">רע"א 7687/18 </w:t>
      </w:r>
      <w:r>
        <w:rPr>
          <w:rFonts w:ascii="Calibri" w:hAnsi="Calibri"/>
          <w:b/>
          <w:bCs/>
          <w:sz w:val="26"/>
          <w:szCs w:val="26"/>
          <w:rtl/>
        </w:rPr>
        <w:t xml:space="preserve">מדינת ישראל- רשות המסים נ' </w:t>
      </w:r>
      <w:r>
        <w:rPr>
          <w:rFonts w:ascii="David" w:hAnsi="David"/>
          <w:b/>
          <w:bCs/>
          <w:color w:val="000000"/>
          <w:sz w:val="26"/>
          <w:szCs w:val="26"/>
          <w:rtl/>
        </w:rPr>
        <w:t>מרעב חסן בנייה וסחר בע"מ</w:t>
      </w:r>
      <w:r>
        <w:rPr>
          <w:rFonts w:ascii="Calibri" w:hAnsi="Calibri"/>
          <w:sz w:val="26"/>
          <w:szCs w:val="26"/>
          <w:rtl/>
        </w:rPr>
        <w:t xml:space="preserve"> (מיום 15.7.20); </w:t>
      </w:r>
      <w:r>
        <w:rPr>
          <w:rFonts w:ascii="David" w:hAnsi="David"/>
          <w:sz w:val="26"/>
          <w:szCs w:val="26"/>
          <w:rtl/>
        </w:rPr>
        <w:t xml:space="preserve">ע"א 477/19 </w:t>
      </w:r>
      <w:r>
        <w:rPr>
          <w:rFonts w:ascii="David" w:hAnsi="David"/>
          <w:b/>
          <w:bCs/>
          <w:sz w:val="26"/>
          <w:szCs w:val="26"/>
          <w:rtl/>
        </w:rPr>
        <w:t>חברת ג'י בי אם בניה בע"מ נ' מנהל מע"מ לוד</w:t>
      </w:r>
      <w:r>
        <w:rPr>
          <w:rFonts w:ascii="David" w:hAnsi="David"/>
          <w:sz w:val="26"/>
          <w:szCs w:val="26"/>
          <w:rtl/>
        </w:rPr>
        <w:t xml:space="preserve"> (מיום 2.2.21)</w:t>
      </w:r>
      <w:r w:rsidR="009D39C0">
        <w:rPr>
          <w:rFonts w:ascii="Calibri" w:hAnsi="Calibri" w:hint="cs"/>
          <w:sz w:val="26"/>
          <w:szCs w:val="26"/>
          <w:rtl/>
        </w:rPr>
        <w:t>)</w:t>
      </w:r>
      <w:r>
        <w:rPr>
          <w:rFonts w:ascii="Calibri" w:hAnsi="Calibri"/>
          <w:sz w:val="26"/>
          <w:szCs w:val="26"/>
          <w:rtl/>
        </w:rPr>
        <w:t>.</w:t>
      </w:r>
    </w:p>
    <w:p w:rsidR="004E6C0E" w:rsidRDefault="004E6C0E" w:rsidP="009D39C0">
      <w:pPr>
        <w:numPr>
          <w:ilvl w:val="0"/>
          <w:numId w:val="1"/>
        </w:numPr>
        <w:spacing w:after="200" w:line="360" w:lineRule="auto"/>
        <w:contextualSpacing/>
        <w:jc w:val="both"/>
        <w:rPr>
          <w:rFonts w:ascii="David" w:hAnsi="David"/>
          <w:b/>
          <w:bCs/>
          <w:sz w:val="28"/>
          <w:szCs w:val="28"/>
          <w:u w:val="single"/>
        </w:rPr>
      </w:pPr>
      <w:r>
        <w:rPr>
          <w:rFonts w:ascii="David" w:hAnsi="David"/>
          <w:color w:val="000000"/>
          <w:sz w:val="26"/>
          <w:szCs w:val="26"/>
          <w:rtl/>
        </w:rPr>
        <w:t xml:space="preserve">תקנה 157 בתקנות סדר הדין האזרחי נמנעה מלקבוע מהם הקריטריונים לקביעת הערובה, ועל כן יש לאמץ את השיקולים המנחים שהותוו בהלכה הפסוקה ביחס להפקדת ערובה על פי תקנה </w:t>
      </w:r>
      <w:r w:rsidR="009D39C0">
        <w:rPr>
          <w:rFonts w:ascii="David" w:hAnsi="David" w:hint="cs"/>
          <w:color w:val="000000"/>
          <w:sz w:val="26"/>
          <w:szCs w:val="26"/>
          <w:rtl/>
        </w:rPr>
        <w:t>519</w:t>
      </w:r>
      <w:r>
        <w:rPr>
          <w:rFonts w:ascii="David" w:hAnsi="David"/>
          <w:color w:val="000000"/>
          <w:sz w:val="26"/>
          <w:szCs w:val="26"/>
          <w:rtl/>
        </w:rPr>
        <w:t xml:space="preserve"> </w:t>
      </w:r>
      <w:r>
        <w:rPr>
          <w:rFonts w:ascii="David" w:hAnsi="David"/>
          <w:b/>
          <w:bCs/>
          <w:color w:val="000000"/>
          <w:sz w:val="26"/>
          <w:szCs w:val="26"/>
          <w:rtl/>
        </w:rPr>
        <w:t>בתקנות סדר הדין האזרחי, התשמ"ד- 1984</w:t>
      </w:r>
      <w:r>
        <w:rPr>
          <w:rFonts w:ascii="David" w:hAnsi="David"/>
          <w:color w:val="000000"/>
          <w:sz w:val="26"/>
          <w:szCs w:val="26"/>
          <w:rtl/>
        </w:rPr>
        <w:t xml:space="preserve"> (להלן- "</w:t>
      </w:r>
      <w:r>
        <w:rPr>
          <w:rFonts w:ascii="David" w:hAnsi="David"/>
          <w:b/>
          <w:bCs/>
          <w:color w:val="000000"/>
          <w:sz w:val="26"/>
          <w:szCs w:val="26"/>
          <w:rtl/>
        </w:rPr>
        <w:t>תקנות סדר הדין האזרחי הישנות</w:t>
      </w:r>
      <w:r>
        <w:rPr>
          <w:rFonts w:ascii="David" w:hAnsi="David"/>
          <w:color w:val="000000"/>
          <w:sz w:val="26"/>
          <w:szCs w:val="26"/>
          <w:rtl/>
        </w:rPr>
        <w:t xml:space="preserve">"), אשר עסקה בעבר בסוגיה, ואשר נוסחה דומה (למעט לעניין נפקות ההימנעות מהפקדת ערובה- מחיקת התביעה או דחייתה). </w:t>
      </w:r>
    </w:p>
    <w:p w:rsidR="004E6C0E" w:rsidRDefault="004E6C0E" w:rsidP="009D39C0">
      <w:pPr>
        <w:numPr>
          <w:ilvl w:val="0"/>
          <w:numId w:val="1"/>
        </w:numPr>
        <w:spacing w:after="200" w:line="360" w:lineRule="auto"/>
        <w:contextualSpacing/>
        <w:jc w:val="both"/>
        <w:rPr>
          <w:rFonts w:ascii="David" w:hAnsi="David"/>
          <w:sz w:val="26"/>
          <w:szCs w:val="26"/>
        </w:rPr>
      </w:pPr>
      <w:r>
        <w:rPr>
          <w:rFonts w:ascii="David" w:hAnsi="David"/>
          <w:sz w:val="26"/>
          <w:szCs w:val="26"/>
          <w:rtl/>
        </w:rPr>
        <w:t>בהלכה הפסוקה</w:t>
      </w:r>
      <w:r w:rsidR="009D39C0">
        <w:rPr>
          <w:rFonts w:ascii="David" w:hAnsi="David" w:hint="cs"/>
          <w:sz w:val="26"/>
          <w:szCs w:val="26"/>
          <w:rtl/>
        </w:rPr>
        <w:t xml:space="preserve"> נקבע כי</w:t>
      </w:r>
      <w:r>
        <w:rPr>
          <w:rFonts w:ascii="David" w:hAnsi="David"/>
          <w:sz w:val="26"/>
          <w:szCs w:val="26"/>
          <w:rtl/>
        </w:rPr>
        <w:t xml:space="preserve"> ככלל, אין להתנות את זכותו של תובע לפנות לבית המשפט בהפקדת ערובה כספית להבטחת הוצאות הנתבע, אלא בנסיבות חריגות,  בשל הפגיעה האפשרית בזכות הגישה לערכאות. האיזון הנאות בין השיקולים </w:t>
      </w:r>
      <w:r w:rsidR="009D39C0">
        <w:rPr>
          <w:rFonts w:ascii="David" w:hAnsi="David" w:hint="cs"/>
          <w:sz w:val="26"/>
          <w:szCs w:val="26"/>
          <w:rtl/>
        </w:rPr>
        <w:t xml:space="preserve">השונים </w:t>
      </w:r>
      <w:r>
        <w:rPr>
          <w:rFonts w:ascii="David" w:hAnsi="David"/>
          <w:sz w:val="26"/>
          <w:szCs w:val="26"/>
          <w:rtl/>
        </w:rPr>
        <w:t xml:space="preserve">מחייב את בית המשפט לנקוט במתינות ובזהירות בהפעלת שיקול הדעת המוקנה לו בהקשר זה (ראו- רע"א 2892/23 </w:t>
      </w:r>
      <w:r>
        <w:rPr>
          <w:rFonts w:ascii="David" w:hAnsi="David"/>
          <w:b/>
          <w:bCs/>
          <w:sz w:val="26"/>
          <w:szCs w:val="26"/>
          <w:rtl/>
        </w:rPr>
        <w:t>גלובל אפ טכנולוגיות בע"מ נ' הלן טרוויס</w:t>
      </w:r>
      <w:r>
        <w:rPr>
          <w:rFonts w:ascii="David" w:hAnsi="David"/>
          <w:sz w:val="26"/>
          <w:szCs w:val="26"/>
          <w:rtl/>
        </w:rPr>
        <w:t xml:space="preserve"> (מיום 9.7.2023) (להלן- "</w:t>
      </w:r>
      <w:r>
        <w:rPr>
          <w:rFonts w:ascii="David" w:hAnsi="David"/>
          <w:b/>
          <w:bCs/>
          <w:sz w:val="26"/>
          <w:szCs w:val="26"/>
          <w:rtl/>
        </w:rPr>
        <w:t>פרשת גלובל אפ</w:t>
      </w:r>
      <w:r>
        <w:rPr>
          <w:rFonts w:ascii="David" w:hAnsi="David"/>
          <w:sz w:val="26"/>
          <w:szCs w:val="26"/>
          <w:rtl/>
        </w:rPr>
        <w:t>"), והפסיקה המוזכרת שם.</w:t>
      </w:r>
    </w:p>
    <w:p w:rsidR="004E6C0E" w:rsidRDefault="004E6C0E" w:rsidP="004E6C0E">
      <w:pPr>
        <w:numPr>
          <w:ilvl w:val="0"/>
          <w:numId w:val="1"/>
        </w:numPr>
        <w:spacing w:after="200" w:line="360" w:lineRule="auto"/>
        <w:contextualSpacing/>
        <w:jc w:val="both"/>
        <w:rPr>
          <w:rFonts w:ascii="David" w:hAnsi="David"/>
          <w:sz w:val="26"/>
          <w:szCs w:val="26"/>
        </w:rPr>
      </w:pPr>
      <w:r>
        <w:rPr>
          <w:rFonts w:ascii="David" w:hAnsi="David"/>
          <w:sz w:val="26"/>
          <w:szCs w:val="26"/>
          <w:rtl/>
        </w:rPr>
        <w:lastRenderedPageBreak/>
        <w:t xml:space="preserve">כפי שצויין בפרשת גלובל אפ, אחד החריגים שהוכרו בהלכה הפסוקה לכלל האמור, הוא </w:t>
      </w:r>
      <w:r w:rsidRPr="009D39C0">
        <w:rPr>
          <w:rFonts w:ascii="David" w:hAnsi="David"/>
          <w:b/>
          <w:bCs/>
          <w:sz w:val="26"/>
          <w:szCs w:val="26"/>
          <w:rtl/>
        </w:rPr>
        <w:t>תושבות חוץ</w:t>
      </w:r>
      <w:r>
        <w:rPr>
          <w:rFonts w:ascii="David" w:hAnsi="David"/>
          <w:sz w:val="26"/>
          <w:szCs w:val="26"/>
          <w:rtl/>
        </w:rPr>
        <w:t xml:space="preserve"> של תובע, אשר אין באפשרותו להצביע על נכסים בישראל, שמהם יוכל הנתבע להיפרע ככל שהתביעה תידחה וכלל שיפסקו הוצאות לטובת הנתבע. יחד עם זאת נקבע כי</w:t>
      </w:r>
      <w:r w:rsidR="009D39C0">
        <w:rPr>
          <w:rFonts w:ascii="David" w:hAnsi="David"/>
          <w:sz w:val="26"/>
          <w:szCs w:val="26"/>
          <w:rtl/>
        </w:rPr>
        <w:t xml:space="preserve">  השיקול האמור אינו שיקול יחיד,</w:t>
      </w:r>
      <w:r>
        <w:rPr>
          <w:rFonts w:ascii="David" w:hAnsi="David"/>
          <w:sz w:val="26"/>
          <w:szCs w:val="26"/>
          <w:rtl/>
        </w:rPr>
        <w:t xml:space="preserve"> ובית המשפט רשאי לבחון שיקולים רלוונטיים נוספים, במטרה לאזן בין זכות הגישה לערכאות של התובע ובין אינטרס הנתבע להבטחת הוצאותיו.</w:t>
      </w:r>
    </w:p>
    <w:p w:rsidR="004E6C0E" w:rsidRDefault="004E6C0E" w:rsidP="009D39C0">
      <w:pPr>
        <w:numPr>
          <w:ilvl w:val="0"/>
          <w:numId w:val="1"/>
        </w:numPr>
        <w:spacing w:after="200" w:line="360" w:lineRule="auto"/>
        <w:contextualSpacing/>
        <w:jc w:val="both"/>
        <w:rPr>
          <w:rFonts w:ascii="David" w:hAnsi="David"/>
          <w:sz w:val="26"/>
          <w:szCs w:val="26"/>
        </w:rPr>
      </w:pPr>
      <w:r>
        <w:rPr>
          <w:rFonts w:ascii="David" w:hAnsi="David"/>
          <w:sz w:val="26"/>
          <w:szCs w:val="26"/>
          <w:rtl/>
        </w:rPr>
        <w:t xml:space="preserve"> </w:t>
      </w:r>
      <w:r>
        <w:rPr>
          <w:rFonts w:ascii="David" w:hAnsi="David" w:hint="cs"/>
          <w:sz w:val="26"/>
          <w:szCs w:val="26"/>
          <w:rtl/>
        </w:rPr>
        <w:t>בענייננו, לתושבות הזרה ו</w:t>
      </w:r>
      <w:r w:rsidR="009D39C0">
        <w:rPr>
          <w:rFonts w:ascii="David" w:hAnsi="David" w:hint="cs"/>
          <w:sz w:val="26"/>
          <w:szCs w:val="26"/>
          <w:rtl/>
        </w:rPr>
        <w:t>ל</w:t>
      </w:r>
      <w:r>
        <w:rPr>
          <w:rFonts w:ascii="David" w:hAnsi="David" w:hint="cs"/>
          <w:sz w:val="26"/>
          <w:szCs w:val="26"/>
          <w:rtl/>
        </w:rPr>
        <w:t xml:space="preserve">העדר נכסים בישראל, או מקורות הכנסה שניתן לגבות מהם את ההוצאות ככל שהערעור ידחה, </w:t>
      </w:r>
      <w:r>
        <w:rPr>
          <w:rFonts w:ascii="David" w:hAnsi="David"/>
          <w:sz w:val="26"/>
          <w:szCs w:val="26"/>
          <w:rtl/>
        </w:rPr>
        <w:t>מצטרפת העובדה שהמערער נמנע מלשלם למנהל את ההוצאות שנפסקו לטובתו בהחלטה שניתנה, וכמובן את הימנעותו של המערער מלהגיב לבקשה.</w:t>
      </w:r>
    </w:p>
    <w:p w:rsidR="004E6C0E" w:rsidRDefault="004E6C0E" w:rsidP="00163F87">
      <w:pPr>
        <w:numPr>
          <w:ilvl w:val="0"/>
          <w:numId w:val="1"/>
        </w:numPr>
        <w:spacing w:after="200" w:line="360" w:lineRule="auto"/>
        <w:contextualSpacing/>
        <w:jc w:val="both"/>
        <w:rPr>
          <w:rFonts w:ascii="David" w:hAnsi="David"/>
          <w:sz w:val="26"/>
          <w:szCs w:val="26"/>
        </w:rPr>
      </w:pPr>
      <w:r>
        <w:rPr>
          <w:rFonts w:ascii="David" w:hAnsi="David"/>
          <w:sz w:val="26"/>
          <w:szCs w:val="26"/>
          <w:rtl/>
        </w:rPr>
        <w:t xml:space="preserve">בשלב זה מוקדם מלהעריך את סיכויי הערעור, ואולם </w:t>
      </w:r>
      <w:r>
        <w:rPr>
          <w:rFonts w:ascii="Calibri" w:hAnsi="Calibri"/>
          <w:sz w:val="26"/>
          <w:szCs w:val="26"/>
          <w:rtl/>
        </w:rPr>
        <w:t>אין להתעלם מטיב המחלוקת, מהנטל המוטל על המערערת מכוח ההלכה הפסוקה, ומהצרופות שצורפו לתצהירים מטעם המנהל</w:t>
      </w:r>
      <w:r w:rsidR="009D39C0">
        <w:rPr>
          <w:rFonts w:ascii="Calibri" w:hAnsi="Calibri" w:hint="cs"/>
          <w:sz w:val="26"/>
          <w:szCs w:val="26"/>
          <w:rtl/>
        </w:rPr>
        <w:t>. ב</w:t>
      </w:r>
      <w:r w:rsidR="00163F87">
        <w:rPr>
          <w:rFonts w:ascii="Calibri" w:hAnsi="Calibri" w:hint="cs"/>
          <w:sz w:val="26"/>
          <w:szCs w:val="26"/>
          <w:rtl/>
        </w:rPr>
        <w:t xml:space="preserve">תצהיר בואר כי </w:t>
      </w:r>
      <w:r>
        <w:rPr>
          <w:rFonts w:ascii="Calibri" w:hAnsi="Calibri"/>
          <w:sz w:val="26"/>
          <w:szCs w:val="26"/>
          <w:rtl/>
        </w:rPr>
        <w:t>החברה לא ניהלה ספרי חשבונות</w:t>
      </w:r>
      <w:r w:rsidR="00163F87">
        <w:rPr>
          <w:rFonts w:ascii="Calibri" w:hAnsi="Calibri" w:hint="cs"/>
          <w:sz w:val="26"/>
          <w:szCs w:val="26"/>
          <w:rtl/>
        </w:rPr>
        <w:t xml:space="preserve"> ועל כן לא ניתן היה לבחון את אמתות העסקאות;</w:t>
      </w:r>
      <w:r>
        <w:rPr>
          <w:rFonts w:ascii="Calibri" w:hAnsi="Calibri"/>
          <w:sz w:val="26"/>
          <w:szCs w:val="26"/>
          <w:rtl/>
        </w:rPr>
        <w:t xml:space="preserve"> ספריה נפסלו</w:t>
      </w:r>
      <w:r w:rsidR="00163F87">
        <w:rPr>
          <w:rFonts w:ascii="Calibri" w:hAnsi="Calibri" w:hint="cs"/>
          <w:sz w:val="26"/>
          <w:szCs w:val="26"/>
          <w:rtl/>
        </w:rPr>
        <w:t>;</w:t>
      </w:r>
      <w:r>
        <w:rPr>
          <w:rFonts w:ascii="Calibri" w:hAnsi="Calibri"/>
          <w:sz w:val="26"/>
          <w:szCs w:val="26"/>
          <w:rtl/>
        </w:rPr>
        <w:t xml:space="preserve"> לא הוגש ערעור על כך או על השומה שנקבעה לחברה</w:t>
      </w:r>
      <w:r w:rsidR="00163F87">
        <w:rPr>
          <w:rFonts w:ascii="Calibri" w:hAnsi="Calibri" w:hint="cs"/>
          <w:sz w:val="26"/>
          <w:szCs w:val="26"/>
          <w:rtl/>
        </w:rPr>
        <w:t>;</w:t>
      </w:r>
      <w:r>
        <w:rPr>
          <w:rFonts w:ascii="Calibri" w:hAnsi="Calibri"/>
          <w:sz w:val="26"/>
          <w:szCs w:val="26"/>
          <w:rtl/>
        </w:rPr>
        <w:t xml:space="preserve"> </w:t>
      </w:r>
      <w:r w:rsidR="00163F87">
        <w:rPr>
          <w:rFonts w:ascii="Calibri" w:hAnsi="Calibri" w:hint="cs"/>
          <w:sz w:val="26"/>
          <w:szCs w:val="26"/>
          <w:rtl/>
        </w:rPr>
        <w:t xml:space="preserve">נפלו </w:t>
      </w:r>
      <w:r>
        <w:rPr>
          <w:rFonts w:ascii="Calibri" w:hAnsi="Calibri"/>
          <w:sz w:val="26"/>
          <w:szCs w:val="26"/>
          <w:rtl/>
        </w:rPr>
        <w:t>סתירות בחקירות השונות</w:t>
      </w:r>
      <w:r w:rsidR="00163F87">
        <w:rPr>
          <w:rFonts w:ascii="Calibri" w:hAnsi="Calibri" w:hint="cs"/>
          <w:sz w:val="26"/>
          <w:szCs w:val="26"/>
          <w:rtl/>
        </w:rPr>
        <w:t>; ועוד.</w:t>
      </w:r>
      <w:r>
        <w:rPr>
          <w:rFonts w:ascii="Calibri" w:hAnsi="Calibri"/>
          <w:sz w:val="26"/>
          <w:szCs w:val="26"/>
          <w:rtl/>
        </w:rPr>
        <w:t xml:space="preserve"> (תצהירי עדות ראשית מטעם המערער טרם הוגשו). </w:t>
      </w:r>
      <w:r>
        <w:rPr>
          <w:rFonts w:ascii="David" w:hAnsi="David"/>
          <w:sz w:val="26"/>
          <w:szCs w:val="26"/>
          <w:rtl/>
        </w:rPr>
        <w:t xml:space="preserve">לכאורה לא מדובר בענייננו </w:t>
      </w:r>
      <w:r>
        <w:rPr>
          <w:rFonts w:ascii="Calibri" w:hAnsi="Calibri"/>
          <w:sz w:val="26"/>
          <w:szCs w:val="26"/>
          <w:rtl/>
        </w:rPr>
        <w:t>בסיכוי ערעור כה גבוהים, במידה שיש בהם, כדי להטות את הכף ולהצדיק פטור מהפקדת הערובה חרף הנימוקים האחרים שציינתי.</w:t>
      </w:r>
    </w:p>
    <w:p w:rsidR="004E6C0E" w:rsidRDefault="004E6C0E" w:rsidP="004E6C0E">
      <w:pPr>
        <w:numPr>
          <w:ilvl w:val="0"/>
          <w:numId w:val="1"/>
        </w:numPr>
        <w:spacing w:after="200" w:line="360" w:lineRule="auto"/>
        <w:contextualSpacing/>
        <w:jc w:val="both"/>
        <w:rPr>
          <w:rFonts w:ascii="David" w:hAnsi="David"/>
          <w:sz w:val="26"/>
          <w:szCs w:val="26"/>
        </w:rPr>
      </w:pPr>
      <w:r>
        <w:rPr>
          <w:rFonts w:ascii="David" w:hAnsi="David"/>
          <w:sz w:val="26"/>
          <w:szCs w:val="26"/>
          <w:rtl/>
        </w:rPr>
        <w:t xml:space="preserve">באיזון הנאות בין השיקולים השונים מצאתי  שיש לחייב את המערער בהפקדות ערובה להבטחת  הוצאות המנהל, ואולם על הצד הנמוך.  </w:t>
      </w:r>
    </w:p>
    <w:p w:rsidR="00694556" w:rsidRPr="00163F87" w:rsidRDefault="004E6C0E" w:rsidP="00163F87">
      <w:pPr>
        <w:numPr>
          <w:ilvl w:val="0"/>
          <w:numId w:val="1"/>
        </w:numPr>
        <w:spacing w:after="200" w:line="360" w:lineRule="auto"/>
        <w:contextualSpacing/>
        <w:jc w:val="both"/>
        <w:rPr>
          <w:rFonts w:ascii="David" w:hAnsi="David"/>
          <w:b/>
          <w:bCs/>
          <w:sz w:val="26"/>
          <w:szCs w:val="26"/>
          <w:rtl/>
        </w:rPr>
      </w:pPr>
      <w:r w:rsidRPr="00163F87">
        <w:rPr>
          <w:rFonts w:ascii="David" w:hAnsi="David"/>
          <w:b/>
          <w:bCs/>
          <w:sz w:val="26"/>
          <w:szCs w:val="26"/>
          <w:rtl/>
        </w:rPr>
        <w:t>לפיכך אני מקבלת את הבקשה, ומורה למערער להפקיד ערובה בסך של 25,000 ₪.</w:t>
      </w:r>
      <w:r w:rsidR="00163F87" w:rsidRPr="00163F87">
        <w:rPr>
          <w:rFonts w:ascii="David" w:hAnsi="David" w:hint="cs"/>
          <w:b/>
          <w:bCs/>
          <w:sz w:val="26"/>
          <w:szCs w:val="26"/>
          <w:rtl/>
        </w:rPr>
        <w:t xml:space="preserve"> </w:t>
      </w:r>
      <w:r w:rsidRPr="00163F87">
        <w:rPr>
          <w:rFonts w:ascii="David" w:hAnsi="David"/>
          <w:b/>
          <w:bCs/>
          <w:sz w:val="26"/>
          <w:szCs w:val="26"/>
          <w:rtl/>
        </w:rPr>
        <w:t>הערובה תופקד בתוך 30 ימים. ימי הפגרה יבואו במניין הימים האמורים. ככל שהערובה לא תופקד במועד אורה על מחיקת הערעור</w:t>
      </w:r>
      <w:r w:rsidR="00163F87" w:rsidRPr="00163F87">
        <w:rPr>
          <w:rFonts w:ascii="David" w:hAnsi="David" w:hint="cs"/>
          <w:b/>
          <w:bCs/>
          <w:sz w:val="26"/>
          <w:szCs w:val="26"/>
          <w:rtl/>
        </w:rPr>
        <w:t>.</w:t>
      </w:r>
    </w:p>
    <w:p w:rsidR="00694556" w:rsidRPr="00B95D6E"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א' אב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19 יולי 2023</w:t>
          </w:r>
        </w:sdtContent>
      </w:sdt>
      <w:r w:rsidR="00005C8B">
        <w:rPr>
          <w:rFonts w:ascii="Arial" w:hAnsi="Arial"/>
          <w:noProof w:val="0"/>
          <w:rtl/>
        </w:rPr>
        <w:t>, בהעדר הצדדים.</w:t>
      </w:r>
    </w:p>
    <w:p w:rsidR="00C43648" w:rsidRDefault="005D6D6D"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722982891"/>
        </w:sdtPr>
        <w:sdtEndPr/>
        <w:sdtContent>
          <w:r w:rsidR="00E22A7B">
            <w:drawing>
              <wp:inline distT="0" distB="0" distL="0" distR="0" wp14:editId="50D07946">
                <wp:extent cx="1000125" cy="1076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000125" cy="10763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9"/>
      <w:headerReference w:type="default" r:id="rId10"/>
      <w:footerReference w:type="even" r:id="rId11"/>
      <w:footerReference w:type="default" r:id="rId12"/>
      <w:headerReference w:type="first" r:id="rId13"/>
      <w:footerReference w:type="first" r:id="rId14"/>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D6D" w:rsidRDefault="005D6D6D">
      <w:r>
        <w:separator/>
      </w:r>
    </w:p>
  </w:endnote>
  <w:endnote w:type="continuationSeparator" w:id="0">
    <w:p w:rsidR="005D6D6D" w:rsidRDefault="005D6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16B" w:rsidRDefault="00CD516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E71A46">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E71A46">
      <w:rPr>
        <w:rStyle w:val="ab"/>
        <w:rtl/>
      </w:rPr>
      <w:t>3</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16B" w:rsidRDefault="00CD516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D6D" w:rsidRDefault="005D6D6D">
      <w:r>
        <w:separator/>
      </w:r>
    </w:p>
  </w:footnote>
  <w:footnote w:type="continuationSeparator" w:id="0">
    <w:p w:rsidR="005D6D6D" w:rsidRDefault="005D6D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16B" w:rsidRDefault="00CD516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5D6D6D" w:rsidP="00CD516B">
          <w:pPr>
            <w:rPr>
              <w:b/>
              <w:bCs/>
              <w:noProof w:val="0"/>
              <w:sz w:val="26"/>
              <w:szCs w:val="26"/>
              <w:rtl/>
            </w:rPr>
          </w:pPr>
          <w:sdt>
            <w:sdtPr>
              <w:rPr>
                <w:rtl/>
              </w:rPr>
              <w:alias w:val="1170"/>
              <w:tag w:val="1170"/>
              <w:id w:val="1066377040"/>
              <w:text w:multiLine="1"/>
            </w:sdtPr>
            <w:sdtEndPr/>
            <w:sdtContent>
              <w:r w:rsidR="00FE09EC">
                <w:rPr>
                  <w:b/>
                  <w:bCs/>
                  <w:noProof w:val="0"/>
                  <w:sz w:val="26"/>
                  <w:szCs w:val="26"/>
                  <w:rtl/>
                </w:rPr>
                <w:t>ע"מ</w:t>
              </w:r>
            </w:sdtContent>
          </w:sdt>
          <w:r w:rsidR="00005C8B">
            <w:rPr>
              <w:b/>
              <w:bCs/>
              <w:noProof w:val="0"/>
              <w:sz w:val="26"/>
              <w:szCs w:val="26"/>
              <w:rtl/>
            </w:rPr>
            <w:t xml:space="preserve"> </w:t>
          </w:r>
          <w:sdt>
            <w:sdtPr>
              <w:rPr>
                <w:rtl/>
              </w:rPr>
              <w:alias w:val="1171"/>
              <w:tag w:val="1171"/>
              <w:id w:val="257034231"/>
              <w:text w:multiLine="1"/>
            </w:sdtPr>
            <w:sdtEndPr/>
            <w:sdtContent>
              <w:r w:rsidR="00FE09EC">
                <w:rPr>
                  <w:b/>
                  <w:bCs/>
                  <w:noProof w:val="0"/>
                  <w:sz w:val="26"/>
                  <w:szCs w:val="26"/>
                  <w:rtl/>
                </w:rPr>
                <w:t>7320-07-22</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FE09EC">
                <w:rPr>
                  <w:b/>
                  <w:bCs/>
                  <w:noProof w:val="0"/>
                  <w:sz w:val="26"/>
                  <w:szCs w:val="26"/>
                  <w:rtl/>
                </w:rPr>
                <w:t>שריתח נ' מע"מ/מכס – רשות המיסים</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16B" w:rsidRDefault="00CD516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9D3132"/>
    <w:multiLevelType w:val="hybridMultilevel"/>
    <w:tmpl w:val="9A8A1E08"/>
    <w:lvl w:ilvl="0" w:tplc="0BBA1AC0">
      <w:start w:val="1"/>
      <w:numFmt w:val="decimal"/>
      <w:lvlText w:val="%1."/>
      <w:lvlJc w:val="left"/>
      <w:pPr>
        <w:ind w:left="720" w:hanging="360"/>
      </w:pPr>
      <w:rPr>
        <w:rFonts w:cs="Times New Roman"/>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07DE0"/>
    <w:rsid w:val="000346CC"/>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63F87"/>
    <w:rsid w:val="00180519"/>
    <w:rsid w:val="00191C82"/>
    <w:rsid w:val="001C4003"/>
    <w:rsid w:val="001D4DBF"/>
    <w:rsid w:val="001E75CA"/>
    <w:rsid w:val="002265FF"/>
    <w:rsid w:val="00235B97"/>
    <w:rsid w:val="00271B56"/>
    <w:rsid w:val="002C344E"/>
    <w:rsid w:val="002E75E9"/>
    <w:rsid w:val="002F0B1E"/>
    <w:rsid w:val="00307A6A"/>
    <w:rsid w:val="00307C40"/>
    <w:rsid w:val="00320433"/>
    <w:rsid w:val="003230C7"/>
    <w:rsid w:val="00327E50"/>
    <w:rsid w:val="0033597A"/>
    <w:rsid w:val="00343D89"/>
    <w:rsid w:val="00360B2B"/>
    <w:rsid w:val="00362612"/>
    <w:rsid w:val="0036743F"/>
    <w:rsid w:val="003715DD"/>
    <w:rsid w:val="003823E0"/>
    <w:rsid w:val="003A4521"/>
    <w:rsid w:val="003B3E8D"/>
    <w:rsid w:val="003D1C8C"/>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C0E"/>
    <w:rsid w:val="004E6E3C"/>
    <w:rsid w:val="00511B90"/>
    <w:rsid w:val="00520898"/>
    <w:rsid w:val="00523621"/>
    <w:rsid w:val="00524986"/>
    <w:rsid w:val="005268F6"/>
    <w:rsid w:val="00534284"/>
    <w:rsid w:val="00547DB7"/>
    <w:rsid w:val="005C0627"/>
    <w:rsid w:val="005D6D6D"/>
    <w:rsid w:val="005F4F09"/>
    <w:rsid w:val="0061431B"/>
    <w:rsid w:val="00622BAA"/>
    <w:rsid w:val="006306CF"/>
    <w:rsid w:val="006318D8"/>
    <w:rsid w:val="00644E9A"/>
    <w:rsid w:val="00671BD5"/>
    <w:rsid w:val="006805C1"/>
    <w:rsid w:val="00686C21"/>
    <w:rsid w:val="006931C1"/>
    <w:rsid w:val="00694556"/>
    <w:rsid w:val="006B7258"/>
    <w:rsid w:val="006C30C5"/>
    <w:rsid w:val="006D3B31"/>
    <w:rsid w:val="006D5DDC"/>
    <w:rsid w:val="006E0D96"/>
    <w:rsid w:val="006E1A53"/>
    <w:rsid w:val="006F56E6"/>
    <w:rsid w:val="00704EDA"/>
    <w:rsid w:val="00721122"/>
    <w:rsid w:val="00734689"/>
    <w:rsid w:val="00753019"/>
    <w:rsid w:val="00754801"/>
    <w:rsid w:val="00761441"/>
    <w:rsid w:val="00795365"/>
    <w:rsid w:val="007A351D"/>
    <w:rsid w:val="007B7765"/>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E97"/>
    <w:rsid w:val="008C5714"/>
    <w:rsid w:val="008D10B2"/>
    <w:rsid w:val="008E7526"/>
    <w:rsid w:val="00903896"/>
    <w:rsid w:val="00906F3D"/>
    <w:rsid w:val="0094424E"/>
    <w:rsid w:val="00955642"/>
    <w:rsid w:val="009622DF"/>
    <w:rsid w:val="0096493F"/>
    <w:rsid w:val="00967DFF"/>
    <w:rsid w:val="00994341"/>
    <w:rsid w:val="009D1A48"/>
    <w:rsid w:val="009D39C0"/>
    <w:rsid w:val="009E1CE7"/>
    <w:rsid w:val="009E4EA5"/>
    <w:rsid w:val="009F164B"/>
    <w:rsid w:val="009F323C"/>
    <w:rsid w:val="00A3392B"/>
    <w:rsid w:val="00A469DC"/>
    <w:rsid w:val="00A81988"/>
    <w:rsid w:val="00A85E34"/>
    <w:rsid w:val="00A87DF6"/>
    <w:rsid w:val="00A9144F"/>
    <w:rsid w:val="00A94B64"/>
    <w:rsid w:val="00AA3229"/>
    <w:rsid w:val="00AA7596"/>
    <w:rsid w:val="00AB5E52"/>
    <w:rsid w:val="00AC3B02"/>
    <w:rsid w:val="00AC3B7B"/>
    <w:rsid w:val="00AC5209"/>
    <w:rsid w:val="00AE0E34"/>
    <w:rsid w:val="00AE729E"/>
    <w:rsid w:val="00AE7752"/>
    <w:rsid w:val="00AF7FDA"/>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516B"/>
    <w:rsid w:val="00CD608F"/>
    <w:rsid w:val="00CE0084"/>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22A7B"/>
    <w:rsid w:val="00E25884"/>
    <w:rsid w:val="00E25B55"/>
    <w:rsid w:val="00E31C2B"/>
    <w:rsid w:val="00E5426A"/>
    <w:rsid w:val="00E54642"/>
    <w:rsid w:val="00E71A46"/>
    <w:rsid w:val="00E80CBE"/>
    <w:rsid w:val="00E9269D"/>
    <w:rsid w:val="00E962E3"/>
    <w:rsid w:val="00EB6C79"/>
    <w:rsid w:val="00EC37E9"/>
    <w:rsid w:val="00F038D8"/>
    <w:rsid w:val="00F06995"/>
    <w:rsid w:val="00F12D66"/>
    <w:rsid w:val="00F13623"/>
    <w:rsid w:val="00F44D1D"/>
    <w:rsid w:val="00F50EED"/>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67638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FD4F42" w:rsidP="00FD4F42">
          <w:pPr>
            <w:pStyle w:val="E460D38E05664FF79D4EFF282EF8EC9930"/>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BD69D1" w:rsidP="00BD69D1">
          <w:pPr>
            <w:pStyle w:val="D290653DA13E4E738B7E725F79D7332922"/>
          </w:pPr>
          <w:r>
            <w:rPr>
              <w:rFonts w:hint="eastAsia"/>
              <w:sz w:val="20"/>
              <w:szCs w:val="20"/>
              <w:rtl/>
            </w:rPr>
            <w:t>מספר</w:t>
          </w:r>
          <w:r>
            <w:rPr>
              <w:sz w:val="20"/>
              <w:szCs w:val="20"/>
              <w:rtl/>
            </w:rPr>
            <w:t xml:space="preserve"> תיק חיצוני</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BD69D1" w:rsidP="00BD69D1">
          <w:pPr>
            <w:pStyle w:val="4672CCA166BA4F0A892EB1D7BA0002CB4"/>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BD69D1" w:rsidP="00BD69D1">
          <w:pPr>
            <w:pStyle w:val="1C8A38705F7143EA87FF3DEB2C34E7E54"/>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BD69D1" w:rsidP="00BD69D1">
          <w:pPr>
            <w:pStyle w:val="4DC45A2FD697422FAA3CD896A84FA7B44"/>
          </w:pPr>
          <w:r w:rsidRPr="00CD516B">
            <w:rPr>
              <w:rFonts w:ascii="Arial" w:hAnsi="Arial"/>
              <w:b/>
              <w:bCs/>
              <w:noProof w:val="0"/>
              <w:sz w:val="26"/>
              <w:szCs w:val="26"/>
              <w:rtl/>
            </w:rPr>
            <w:t>שם צד ב' ללא שם של חסוי</w:t>
          </w:r>
        </w:p>
      </w:docPartBody>
    </w:docPart>
    <w:docPart>
      <w:docPartPr>
        <w:name w:val="610C6E051A88448494B3C30FBAD74773"/>
        <w:category>
          <w:name w:val="כללי"/>
          <w:gallery w:val="placeholder"/>
        </w:category>
        <w:types>
          <w:type w:val="bbPlcHdr"/>
        </w:types>
        <w:behaviors>
          <w:behavior w:val="content"/>
        </w:behaviors>
        <w:guid w:val="{32729ED7-1D63-4C4A-930C-D34E871FB7B5}"/>
      </w:docPartPr>
      <w:docPartBody>
        <w:p w:rsidR="00D6580E" w:rsidRDefault="00BD69D1" w:rsidP="00BD69D1">
          <w:pPr>
            <w:pStyle w:val="610C6E051A88448494B3C30FBAD747733"/>
          </w:pPr>
          <w:r w:rsidRPr="00B62AD7">
            <w:rPr>
              <w:rFonts w:ascii="David" w:eastAsia="David" w:hAnsi="David"/>
              <w:b/>
              <w:bCs/>
              <w:rtl/>
            </w:rPr>
            <w:t>מעמד.כינוי צד ג'</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06114"/>
    <w:rsid w:val="002D02C4"/>
    <w:rsid w:val="00345C9D"/>
    <w:rsid w:val="0048651F"/>
    <w:rsid w:val="004B017A"/>
    <w:rsid w:val="005157ED"/>
    <w:rsid w:val="00556D67"/>
    <w:rsid w:val="00673B50"/>
    <w:rsid w:val="00793995"/>
    <w:rsid w:val="007C6F98"/>
    <w:rsid w:val="007E254A"/>
    <w:rsid w:val="008B4366"/>
    <w:rsid w:val="009133C7"/>
    <w:rsid w:val="009178E4"/>
    <w:rsid w:val="00961B27"/>
    <w:rsid w:val="009A36E7"/>
    <w:rsid w:val="00AA7CE3"/>
    <w:rsid w:val="00B50DB2"/>
    <w:rsid w:val="00B67126"/>
    <w:rsid w:val="00B72BC2"/>
    <w:rsid w:val="00B91FA3"/>
    <w:rsid w:val="00BD69D1"/>
    <w:rsid w:val="00BE6557"/>
    <w:rsid w:val="00C96C06"/>
    <w:rsid w:val="00D24521"/>
    <w:rsid w:val="00D6580E"/>
    <w:rsid w:val="00DC0A44"/>
    <w:rsid w:val="00E31BF6"/>
    <w:rsid w:val="00E81DB1"/>
    <w:rsid w:val="00F04DC1"/>
    <w:rsid w:val="00F678CA"/>
    <w:rsid w:val="00FD4F42"/>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D4F42"/>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FD4F42"/>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791</Words>
  <Characters>3959</Characters>
  <Application>Microsoft Office Word</Application>
  <DocSecurity>0</DocSecurity>
  <Lines>32</Lines>
  <Paragraphs>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2023-07-20T11:48:00Z</dcterms:created>
  <dcterms:modified xsi:type="dcterms:W3CDTF">2023-07-20T11:48:00Z</dcterms:modified>
</cp:coreProperties>
</file>